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28.02.2019, оставленным без изменения постановлением Семнадцатого арбитражного апелляционного суда от 03.06.2019 и постановлением Арбитражного суда Уральского округа от 19.09.2019, с учреждения в пользу общества взыскано 609 388 руб. 36 коп. процентов за период с 04.05.2018 по 29.08.2018 с их последующим начислением, начиная с 30.08.2018, по день фактической оплаты долга. В кассационной жалобе, поданной в Верховный Суд Российской Федерации, учреждение,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иска.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вступивший в законную силу судебный акт по делу № А60-56721/2017, руководствуясь статьями 395 , 1107 Гражданского кодекса Российской Федерации, установив факт просрочки исполнения ответчиком денежного обязательства, проверив и скорректировав расчет истца, суды первой и апелляционной инстанций пришли к выводу о наличии оснований для частичного удовлетворения иска.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казенного учреждения Свердловской области «Фонд жилищного строительства»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"Корпорация "Маяк" (подробнее) Ответчики: Государственное казенное учреждение Свердловской области "Фонд жилищного строительства"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