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22.10.2018, оставленным без изменения постановлением Второго арбитражного апелляционного суда от 25.01.2019 и постановлением Арбитражного суда Волго-Вятского округа от 21.08.2019, исковые требования удовлетворены.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1064 Гражданского кодекса Российской Федерации, признав доказанной совокупность условий, необходимых для взыскания с предпринимателя ущерба, пришли к выводу о наличии оснований для удовлетворения требований общества, с чем впоследствии согласился суд округа.Доводы кассационной жалобы не опровергают выводы судов, и не подтверждают существенных нарушений норм материального и процессуального права, повлиявших на исход дела.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Актив (подробнее) Ответчики: Глава КФХ (ИП) Харченко Л.А. (подробнее) КФХ Глава Харченко Людмила Андреевна (подробнее) Иные лица: МЧС России Отделение надзорной деятельности и профилактической работы города Печора (подробнее) ОСП по г. Печоре УФССП по РК (подробнее) Управление по вопросам миграции МВД по РК (подробнее) Управление ФНС по Республике Коми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