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Тюменской области от 08.04.2019, оставленным без изменения постановлением Восьмого арбитражного апелляционного суда от 02.07.2019 и постановлением Арбитражного суда Западно-Сибирского округа от 26.09.2019, первоначальный иск удовлетворен, в удовлетворении встречного иска отказано. В кассационной жалобе, поданной в Верховный Суд Российской Федерации, учреждение,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Арбитражный суд Томской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Суды первой и апелляционной инстанций, руководствуясь статьями 15 , 309 , 310 , 393 , 450 , 708 , 709 , 720 , 740 , 743 , 753 , 763 , 766 Гражданского кодекса Российской Федерации,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оценив по правилам статьи 71 Арбитражного процессуального кодекса Российской Федерации представленные в материалы дела доказательства, установив факт нарушения учреждением сроков выполнения работ по контракту, отсутствие доказательств согласования с администрацией выполнения дополнительных работ в предусмотренном порядке, как и доказательств наличия противоправности поведения администрации и причинно-следственной связи между ее действиями и возникновением у учреждения убытков, пришли к выводу о правомерности первоначального иска и отсутствии оснований для удовлетворения встречного иска. С указанными выводами впоследствии согласился суд округа. Доводы кассационной жалобы не опровергают выводы судов первой инстанции и округа, направлены на переоценку доказательств и фактических обстоятельств дела и не подтверждают существенных нарушений судами норм материального и процессуального права, повлиявших на исход дела. Принимая во внимание изложенное и руководствуясь статьей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государственного бюджетного учреждения «Управление мелиорации земель и сельскохозяйственного водоснабжения по Тюменской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