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03.06.2019, оставленным без изменения постановлением Шестнадцатого арбитражного апелляционного суда от 30.08.2019, исковые требования удовлетворены.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330 , 395 , 432 , 450 , 702 , 708 , 753 , 758 , 760 , 762 Гражданского кодекса Российской Федерации, установив факт перечисления компанией (заказчиком) в адрес общества (исполнителя) авансового платежа в рамках договора, его расторжения по инициативе заказчика в связи с существенным нарушением исполнителем обязательств (сроков выполнения работ), отсутствие доказательств выполнения ответчиком работ либо возврата истцу авансового платежа, проверив и признав верным расчет пеней и процентов, пришли к выводу о наличии оснований для удовлетворения исковых требований. Довод заявителя о том, что суд первой инстанции необоснованно отклонил ходатайство о переходе к рассмотрению дела по общим правилам искового производства, является несостоятельным, поскольку обстоятельств, препятствующих рассмотрению дела в порядке упрощенного производства, указанных в части 5 статьи 227 Арбитражного процессуального кодекса Российской Федерации, судом первой инстанции в процессе рассмотрения дела не установлено. Иные доводы кассационной жалобы не опровергают выводы судов, основаны на неверном толковании норм права,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«ИНЖБЮРО»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"Лантер" (подробнее) Ответчики: ООО "ИНЖБЮРО" (подробнее) Судьи дела: Чучунова Н.С. (судья) (подробнее) Судебная практика по: Признание договора незаключенным Судебная практика по применению нормы ст. 432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