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оценив изложенные в нем доводы, суд считает его подлежащим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«Городская афиша» удовлетворить. Срок подачи кассационной жалобы на постановление Арбитражного суда Северо-Кавказского округа от 18.09.2019 по делу № А32-40283/2018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