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05.10.2018, оставленным без изменения постановлением Девятого арбитражного апелляционного суда от 14.02.2019 и постановлением Арбитражного суда Московского округа от 28.08.2019, в удовлетворении ходатайства общества «КронтаКонстракшен» о процессуальном правопреемстве отказано; в удовлетворении иска отказано. В кассационной жалобе, поданной в Верховный Суд Российской Федерации, общество «КронтаКонстракшен»,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«КронтаКонстракшен» обратилось в арбитражный суд с иском по настоящему делу, ссылаясь на наличие у общества «Мидланд Девелопмент» (заказчика) задолженности по договору подряда от 15.04.2009 № 15/04-09 (далее – договор подряда), право требования которой перешло к истцу от общества «Миллениум Проперти Менеджмент» (подрядчика) на основании договора цессии от 21.05.2016 (далее – договор цессии). Суды первой и апелляционной инстанции, оценив по правилам статьи 71 Арбитражного процессуального кодекса Российской Федерации представленные в материалы дела доказательства, установили, что на момент заключения договора цессии денежное обязательство заказчика по оплате работ, выполненных по договору подряда, прекращено зачетом встречного однородного требования об уплате неустойки за просрочку выполнения работ, начисленной на основании пункта 7.1 договора подряда. При таких обстоятельствах, руководствуясь статьей 410 Гражданского кодекса Российской Федерации, учитывая, что по договору цессии передано несуществующее право требования, указав на отсутствие оснований для снижения предъявленной к зачету неустойки, суды отказали в удовлетворении иска.С указанными выводами впоследствии согласился суд округа. Довод заявителя о необоснованном отказе суда первой инстанции в удовлетворении ходатайства о процессуальном правопреемстве был предметом рассмотрения судов апелляционной инстанции и округа и получил оценку. Доводы кассационной жалобы не опровергают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«КронтаКонстракшен»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"КронтаКонстракшен" (подробнее) Ответчики: ООО "Мидланд Девелопмент" (подробнее) Иные лица: ООО "НИВАДА"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