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26.02.2019, оставленным без изменения постановлением Первого арбитражного апелляционного суда от 14.06.2019, общество привлечено к административной ответственности на основании статьи 14.37 Кодекса Российской Федерации об административных правонарушениях, и ему назначено наказание в виде административного штрафа в размере 250 000 рублей. Постановлением Арбитражного суда Волго–Вятского округа от 27.09.2019 указанные судебные акты оставлены без изменения. В кассационной жалобе, направленной в Верховный Суд Российской Федерации, общество просит отменить названные судебные акты, считая их незаконными и необоснованными.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эксплуатации обществом рекламной конструкции при отсутствии предусмотренного законом разрешения. Статьей 14.37 Кодекса Российской Федерации об административных правонарушениях предусмотрена административная ответственность за установку и (или) эксплуатацию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частью 2 статьи 11.21 настоящего Кодекса. Оценив представленные доказательства и установив, что общество эксплуатировало спорную рекламную конструкцию в целях размещения рекламных материалов без предусмотренного законодательством разрешения на установку и эксплуатацию этой конструкции, руководствуясь положениями Федерального закона от 13.03.2006 № 38 ФЗ «О рекламе», суды пришли к выводу о наличии в действиях общества состава административного правонарушения, ответственность за которое установлена статьей 14.37 Кодекса Российской Федерации об административных правонарушениях. При этом суды, проанализировав условия заключенных обществом договоров на оказание услуг по изготовлению рекламных плакатов и распространению (демонстрации) рекламной информации в форме плакатов, признали общество рекламораспространителем рекламной информации заказчика, а, следовательно, субъектом вмененного правонарушения. При таких обстоятельствах факт принадлежности рекламной конструкции другому лицу не исключает ответственность общества как одного из рекламораспространителей. Процедура и срок давности привлечения к административной ответственности соблюдены. Штраф назначен ниже низшего размера санкции нормы. Оснований для признания совершенного обществом правонарушения малозначительным и освобождения его от административной ответственности суды не усмотрели. Приведенные в жалобе доводы, идентичные изложенным в обоснование позиции общества при рассмотрении дела, подробно исследованы судами и им дана соответствующая правовая оценка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А.Г.ПершутовРоссийской Федерации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