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05.12.2018 исковые требования удовлетворены. Постановлением Тринадцатого арбитражного апелляционного суда от 05.03.2019 решение суда первой инстанции отменено, в удовлетворении исковых требований отказано. Постановлением Арбитражного суда Северо-Западного округа от 08.08.2019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материального и процессуального права, просит отменить их постановления и оставить в силе решение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состоявшихся по делу судебных актов и доводов кассационных жалоб не установлено.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309 , 310 , 753 , 779 , 781 , 783 Гражданского кодекса Российской Федерации, суд апелляционной инстанции пришел к выводу об отсутствии оснований для удовлетворения исковых требований, исходя из недоказанности обществом факта оказания спорных услуг.С указанными выводами впоследствии согласился суд округа. Доводы кассационной жалобы не опровергают выводы судов апелляционной инстанции и округа,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«ПСВ-Инвест»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