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ФИО4 обратился в суд с заявлением о привлечении ФИО2 и ФИО3 к субсидиарной ответственности по обязательствам должника и взыскании с них солидарно в конкурсную массу должника 1 468 366 рублей 25 копеек. Определением Арбитражного суда Московской области от 26.02.2019 отказано в удовлетворении требований. Постановлением Десятого арбитражного апелляционного суда от 07.06.2019, оставленным без изменения постановлением Арбитражного суда Московского округа от 13.08.2019, отменено определение суда первой инстанции от 26.02.2019, требования удовлетворены. В кассационной жалобе, поданной в Верховный Суд Российской Федерации, заявители просят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 и 10 Федерального закона от 26.10.2002 № 127-ФЗ «О несостоятельности (банкротстве)» (в актуальной редакции), исходили из доказанности совокупности условий, необходимых для привлечения ФИО2 и ФИО3, как контролирующих должника лиц, к субсидиарной ответственности, указав на неисполнение последними обязанностей по обращению в суд с заявлением о признании должника банкротом и передаче конкурсному управляющему документов должника, установив наличие конкретных действий с их стороны, приведших к банкротству должника.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и ФИО3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