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25.03.2019, оставленным без изменения постановлением Двенадцатого арбитражного апелляционного суда от 31.05.2019, в удовлетворении заявленного требования отказано. Постановлением Арбитражного суда Поволжского округа от 16.09.2019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судами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установленный административным органом факт осуществления предпринимателем регулярных перевозок пассажиров при отсутствии карты маршрута регулярных перевозок, что является нарушением статьи 35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При этом суды исходили из того, что водитель транспортного средства, используемого для осуществления регулярных перевозок, обязан иметь при себе и предоставлять для проверки должностным лицам органа государственного транспортного контроля карту маршрута регулярных перевозок. Доводы предпринимателя о вынесении постановления о привлечении к административной ответственности без участия предпринимателя и в отсутствие надлежащих доказательств его извещения о совершении указанного действия, являлись предметом рассмотрения судов и отклонены с учетом установленных фактических обстоятельств дела, связанных с принятием административным органом всех необходимых и возможных мер для надлежащего извещения предпринимателя о времени и месте рассмотрения дела об административном правонарушении, в том числе путем направления уведомления по адресу временной регистрации, а также извещения его по адресам электронной почты. Несогласие заявителя с толкованием судебными инстанциями норм Кодекса Российской Федерации об административных правонарушениях и законодательства, подлежащих применению к спорным правоотношениям,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само по себе не является основанием для пересмотра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Территориальный отдел Волжского МУГАДН по Волгоградской области (подробнее) Иные лица: государственный инспектор Территориального отдела Волжского межрегионального управления государственного автодорожного надзора по Волгоградской области Федеральной службы по надзору в сфере транспорта Лихолетов А.А. (подробнее) ООО "АВТОТРАНСПРОФИ "ВОЛЖСКИЙ" (подробнее) Прокуратура Волгоградской области (подробнее) Прокуратура Тракторозаводского района Волгоградской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