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должника обратился в арбитражный суд с заявлением о признании недействительным договора дарения акций от 29.12.2015, заключенного между ФИО2 и ФИО3, и применении последствий его недействительности. Определением Арбитражного суда города Москвы от 31.05.2019, оставленным без изменения постановлением Девятого арбитражного апелляционного суда от 23.07.2019 и постановлением округа от 08.10.2019, оспариваемая сделка признана недействительной, применены последствия ее недействительности в виде списания обыкновенных именных акций ЗАО «ФЦСР инвест» в количестве 49 штук с лицевого счета ФИО3 и зачисления на расчетный счет ФИО2 В кассационной жалобе ЗАО «ФЦСР инвест» просит отменить судебные акты и направить дело на новое рассмотрение в арбитражный суд первой инстанции. В обоснование кассационной жалобы приведены доводы о неполном установлении судами фактических обстоятельств дела и неправильном применении ими норм права. Заявитель жалобы, ссылаясь на недоказанность наличия признаков неплатежеспособности должника, поскольку судебный акт суда общей юрисдикции о взыскании с него суммы задолженности по договору поручительства вынесен только в 2018 году, указывает, что суды не приняли во внимание разъяснения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 и не исследовали вопрос ликвидности отчужденных акций, не выяснена их стоимость, при этом судом было необоснованно отказано в удовлетворении ходатайства о назначении судебной экспертизы на предмет определения рыночной стоимости акций.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спор, суды руководствовались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пунктом 2 статьи 61.2 Закона о банкротстве, оценив наличие оснований для признания оспариваемых сделок недействительными по статьям 10 , 168 Гражданского кодекса Российской Федерации, определили спорные правоотношения, с достаточной полнотой выяснили имеющие существенное значение для дела обстоятельства и, установив всю совокупность обстоятельств для признания оспариваемой сделки недействительной на основании пункта 2 статьи 61.2 Закона о банкротстве, пришли к обоснованному и правомерному выводу об удовлетворении заявленного требования. Оснований, по которым возможно не согласиться с данными выводами, заявителем не приведено. Изложенные в кассационной жалобе доводы являлись предметом рассмотрения судов и сводятся к переоценке надлежаще исследованных ими доказательств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представлено.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С.В.Самуйлов Суд: Верховный Суд РФ (подробнее) Судьи дела: Самуйлов С.В.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