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предприниматель обратился в арбитражный суд с заявлением о включении его требований в размере 937 977,12 руб. в реестр требований кредиторов должника. Определением Арбитражного суда Тамбовской области от 07.03.2019, оставленным без изменения постановлением Девятнадцатого арбитражного апелляционного суда от 09.07.2019 и постановлением Арбитражного суда Центрального округа от 24.09.2019, требование признано обоснованным и подлежащим удовлетворению за счет имущества, оставшегося после удовлетворения требований кредиторов, включенных в реестр требований кредиторов. В кассационной жалобе предприниматель просит судебные акты отменить, ссылаясь на нарушение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Суды руководствовались статьями 16, 71, 100, 126, 143 Федерального закона от 26.10.2002 № 127-ФЗ «О несостоятельности (банкротстве)», пунктом 6 части 1 статьи 47 Федерального закона от 02.10.2007 № 229-ФЗ «Об исполнительном производстве» и исходили из того, что требования заявлены на основании вступившего в законную силу судебного акта после закрытия реестра; исполнительный лист конкурсному управляющему не передавался; исполнительное производство окончено в связи с ликвидацией должника до возбуждения дела о банкротстве, о чем было известно предпринимателю.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Судьи дела: Самуйлов С.В.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