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предприниматель обратился в суд с заявлением о включении в реестр требований кредиторов должника его требования в размере 54 017 020 рублей основного долга, 5 477 600 рублей 06 копеек процентов за пользование займом, 1 151 968 рублей 04 копеек процентов за просрочку возврата займа. Определением Арбитражного суда города Москвы от 24.10.2018, оставленным без изменения постановлениями Девятого арбитражного апелляционного суда от 30.01.2019 и Арбитражного суда Московского округа от 18.07.2019, требование признано необоснованным; во включении его в реестр отказано. Впоследствии предприниматель обратился в суд с заявлением о пересмотре определения суда первой инстанции от 24.10.2018 по вновь открывшимся обстоятельствам. Определением Арбитражного суда города Москвы от 13.06.2019, оставленным Девятого арбитражного апелляционного суда от 06.08.2019 и Арбитражного суда Московского округа от 26.09.2019, заявлении возвращено. В кассационной жалобе, поданной в Верховный Суд Российской Федерации, заявитель просит отменить названные судебные акты и направить вопрос на новое рассмотрение.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предпринимателю заявление о пересмотре судебного акта по вновь открывшимся обстоятельствам, суд первой инстанции руководствовался положениями статьей 310, 311, 313, 315 Арбитражного процессуального кодекса Российской Федерации и исходил из того, что оно подано заявителем с нарушением требований процессуального законодательства, предъявляемых к его форме и содержанию. Суды апелляционной инстанции и округа поддержали данные выводы.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Ляпунову Роману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