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Банк ВТБ (далее – банк) 28.01.2019 обратилось в суд заявлением о включении в реестр требований кредиторов должника требования в общем размере 500 021 576,58 руб., в том числе 499 864 709,58 руб. основного долга, 156 876 руб. неустойки в качестве требований, обеспеченных залогом имущества должника. Определением Арбитражного суда Пермского края от 02.04.2019, оставленным без изменения постановлением суда апелляционной инстанции от 20.06.2019 и постановлением суда округа от 11.09.2019, требование банка в сумме 500 021 576,58 руб., в том числе 499 864 709,58 руб. основного долга, 156 876 руб. неустойки включено в третью очередь реестра требований кредиторов общества «Академия инструмента» в качестве требований, обеспеченных залогом имущества должника. В кассационной жалобе кредитор просит отменить судебные акты и направить дело на новое рассмотрение в арбитражный суд первой инстанции. В обоснование кассационной жалобы приведены доводы о неполном установлении судами фактических обстоятельств дела и неправильном 2 применении ими норм права. Заявитель, ссылаясь на несоответствие выводов судов обстоятельствам дела, полагает, что суды не рассмотрели обстоятельства дела и не дали им правовую оценку в соответствии со статьями 10, 167, 168, 170 Гражданского кодекса Российской Федерации, статьями 61.2 и 61.3 Федерального закона от 26.10.2002 № 127-ФЗ «О несостоятельности (банкротстве)» (далее - Закон о банкротстве), при этом суд неправомерно указал на непредставление обществом «Сатурн-Р» доказательств, того что банк и должник преследовали какую-либо противоправную цель. Общество «Сатурн-Р» полагает, что спорные кредитные соглашения являются притворными и направлены на предоставление кредита Зотову В.А., действия банка по заключению притворных сделок являются незаконными, поскольку привели к уменьшению активов должника перед банкротством и предпочтительному удовлетворению собственных требований банка перед другими кредиторами должника. Рассмотрев доводы кассационной жалобы, судья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Федерации. В соответствии с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не усматривается. Разрешая спор, суды всех инстанций руководствовались статьями 16, 71, 100 Закона о банкротстве, статьями, 10, 170 Гражданского кодекса Российской Федерации, установив, что материалами дела подтверждается и сторонами не оспаривается факт получения денежных средств, предоставленных банком по спорным кредитным соглашениям, и их расходования непосредственно должником, приняв во внимание, что целевое использование кредитных средств на строительство предусмотрено лишь в одном из кредитных соглашений, наряду с иными согласованными целями использования, учитывая отсутствие доказательств того, что кредитные денежные средства были направлены непосредственно на строительство объектов недвижимости, зарегистрированных впоследствии за Зотовым В.А., а также доказательств того, что, предоставляя заемные денежные средства, банк и должник преследовали какую-либо противоправную цель, учитывая, что факт последующей регистрации построенных должником объектов свидетельством недействительности кредитных соглашений не является, пришли к обоснованному выводу об отсутствии оснований для удовлетворения апелляционной жалобы и отмены определения суда первой инстанции. Несогласие заявителя с выводами судебных инстанций, основанными на установленных фактических обстоятельствах дела и оценке доказательств, не 3 свидетельствует о неправильном применении судами норм материального и процессуального права, повлиявшем на исход дела.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