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«ТиссенКрупп Индастриал Солюшнс (РУС)» (далее – общество) обратилось в суд с заявлением о вступлении в дело о банкротстве и включении в реестр требований кредиторов должника его требований. Определением Арбитражного суда Архангельской области от 24.07.2018 требования общества в размере 208 258 034 рублей 41 копейки выделены в отдельное производство. Определением Арбитражного суда Архангельской области от 14.03.2019, оставленным без изменения постановлениями Четырнадцатого арбитражного апелляционного суда от 24.06.2019 и Арбитражного суда Северо-Западного округа от 02.09.2019, заявление общества удовлетворено частично, признано обоснованным и включено в третью очередь реестра требование в размере 118 747 907 рублей 54 копеек, в том числе 114 490 583 рублей 06 копеек неотработанного аванса и 4 257 324 рублей 48 копеек процентов за пользование чужими денежными средствами на сумму неотработанного аванса за период с 15.09.2017 по 01.03.2018. В удовлетворении остальной части требований отказано. 2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Исходя из содержания настоящей жалобы, заявитель не согласен с судебными актами в части удовлетворения требований общества.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удовлетворяя требования,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в том числе заключении эксперта от 08.02.2019 № 129/18-СД, руководствуясь положениями статей 702, 711 и 753 Гражданского кодекса Российской Федерации, статей 71 и 100 Федерального закона от 26.10.2002 № 127-ФЗ «О несостоятельности (банкротстве)», установив объем, стоимость выполненных должником работ и произведенные обществом авансовые платежи, пришли к выводу о том, что требование общества в обжалуемой части обосновано, подтверждено надлежащими доказательствами и подлежит включению в реестр. Выводы судов соответствуют нормам права, оснований для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Бородкину Дмитрию Олеговичу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