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с заявлением о включении в реестр его кредиторов требования в размере 58 649 872,10 руб. ущерба. Определением суда первой инстанции от 15.02.2019, оставленным в силе судами апелляционной инстанции и округа, требования банка включены в третью очередь реестр требований кредиторов в заявленном размере. В кассационной жалобе, поданной в Верховный Суд Российской Федерации, Мощевитин В.Л.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спор, суды руководствовались положениями статей 16, 134, 137 Федерального закона от 26.10.2002 № 127-ФЗ «О несостоятельности (банкротстве)», статей 15, 1064, 1082 Гражданского кодекса Российской 2 Федерации, части 4 статьи 69 АПК РФ и исходили из того, что основания заявленного требования подтверждены вступившим в законную силу решением суда общей юрисдикции и не удовлетворено должником в полном размере. Доводы, изложенные в кассационной жалобе, были предметом рассмотрения судебных инстанций, выводы судов не опровергают, не подтверждают существенных нарушений норм материального и процессуального права, повлиявших на исход дела, не являются достаточным основанием для пересмотра судебных актов в кассационном порядке, поскольку сводятся к иной оценке доказательств, представленных в материалы дела.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