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1 статьи 291.2 Арбитражного процессуального кодекса Российской Федерации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2 Частью 2 статьи 291.2 Арбитражного процессуального кодекса Российской Федерации установлено,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В соответствии с частью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и если не истек предусмотренный, в том числе статьей 291.2 данного Кодекса, предельно допустимый срок для его восстановления. Рассмотрев ходатайство, оценив изложенные в нем доводы, суд находит его подлежащим удовлетворению. Принимая во внимание изложенное и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восстановить обществу с ограниченной ответственностью «Российская инновационная топливно-энергетическая компания» срок подачи кассационной жалобы на определение Арбитражного суда Самарской области от 28.03.2019, постановление Одиннадцатого арбитражного апелляционного суда от 30.05.2019 и постановление Арбитражного суда Поволжского округа от 29.08.2019 по делу № А55-28838/2017. Судья Верховного Суда Российской Федерации Р.А. Хатыпова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