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13.05.2019, принятым в порядке упрощенного производства и оставленным без изменения постановлением Девятого арбитражного апелляционного суда от 05.08.2019, в удовлетворении иска отказано в связи с надлежащим исполнением обязательства ответчиком. В кассационной жалобе общество «РЕНТМОТОРС КЛАБ» просит об отмене указанных судебных актов, ссылаясь на допущенную страховщиком просрочку в выплате страхового возмещения.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Требуемая в жалобе переоценка обстоятельств исполнения обязательства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«РЕНТМОТОРС КЛАБ»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"РЕНТМОТОРС КЛАБ" (подробнее) Ответчики: ПАО Страховое "Ресо-Гарантия"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