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06.05.2019, принятым в порядке упрощенного производства и оставленным без изменения постановлением Девятого арбитражного апелляционного суда от 08.08.2019, в удовлетворении иска отказано в связи с надлежащим исполнением обязательства ответчиком. В кассационной жалобе общество «РЕНТМОТОРС» просит об отмене указанных судебных актов, ссылаясь на допущенную страховщиком просрочку в выплате страхового возмещения.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Требуемая в жалобе переоценка обстоятельств исполнения обязательства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«РЕНТМОТОРС»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"РЕНТМОТОРС" (подробнее) Ответчики: ПАО Страховое "Ресо-Гарантия"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