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18.12.2018, оставленным без изменения постановлением Девятого арбитражного апелляционного суда от 06.05.2019 и постановлением Арбитражного суда Московского округа от 26.08.2019, иск удовлетворен. В кассационной жалобе учреждение просит об отмене судебных актов вследствие неназначения экспертизы в целях установления происхождения товара, с которым связана возможность его использования.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подтверждение происхождения товара и наличие его в реестре Минпромторга России не являлись требованиями закупочной документации и условиями государственного контракта от 05.02.2018 № 1818320100122770659360500/0373100065017000189-0018326-0. В такой ситуации отсутствие указанного подтверждения при соответствии товара предъявленным учреждением техническим характеристикам правомерно признано судами не нарушающим условий контракта и не создающим в силу статей 450 , 450.1 Гражданского кодекса Российской Федерации и норм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оснований для отказа учреждения от его исполнения.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«Главный центр инженерно-технического обеспечения и связи Федеральной службы исполнения наказаний»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"АМЕРЕС" (подробнее) Ответчики: ФЕДЕРАЛЬНОЕ КАЗЕННОЕ УЧРЕЖДЕНИЕ "ГЛАВНЫЙ ЦЕНТР ИНЖЕНЕРНО-ТЕХНИЧЕСКОГО ОБЕСПЕЧЕНИЯ И СВЯЗИ ФЕДЕРАЛЬНОЙ СЛУЖБЫ ИСПОЛНЕНИЯ НАКАЗАНИЙ" (подробнее) Иные лица: ОСП по ЦАО №2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