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20.08.2019, иск удовлетворен. В кассационной жалобе компания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статьей 1102 Гражданского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утвержденными постановлением Правительства Российской Федерации от 14.02.2012 № 124, и исходили из доказанности факта неосновательного обогащения на стороне компании вследствие завышения объема и стоимости тепловой энергии, поставленной в МКД.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