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12.02.2019, оставленным без изменения постановлением Девятого Арбитражного апелляционного суда от 20.05.2019, отказано в удовлетворении заявления конкурсного управляющего Конорева В.А. об исключении из реестра требований кредиторов должника требования о передаче жилых помещений Шмагина С.В. (договоры участия в долевом строительстве № 5/2.10/235, № 5/2.2/54, № 5/2.4/96, № 5/2.10/237, № 5/2.6/136, № 5/2.2/39, № 5/2.6/129, № 5/2.5/101, № 5/2.5/99 от 10.08.2015). Постановлением Арбитражного суда Московского округа от 05.08.2019 определение суда первой инстанции и постановление суда апелляционной инстанций отменены, обособленный спор направлен в Арбитражный суд города Москвы на новое рассмотрение. В кассационной жалобе Шмагин С.В. просил постановление суда округа отменить, ссылаясь на нарушение судом норм права.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2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Направляя обособленный спор на новое рассмотрение, суд кассационной инстанции не разрешил его по существу, указав на необходимость дополнительного исследования доказательств с целью правильного применения норм права. При новом рассмотрении дела заявитель не лишен возможности изложить свои доводы и представить соответствующие доказательства. На основании изложенного,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