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25.12.2018, оставленным без изменения постановлением Восемнадцатого арбитражного апелляционного суда от 10.04.2019, первоначальный иск удовлетворен в полном объеме, встречный иск удовлетворен частично: с общества «Автобан» в пользу общества «Аврора» взыскано 3 000 000 руб. неустойки, в удовлетворении остальной части требований встречного иска отказано. Постановлением Арбитражного суда Уральского округа от 29.07.2019 решение суда первой инстанции и постановление суда апелляционной инстанции отменены в части зачета требований, в остальной части судебные акты оставлены без изменения. В кассационной жалобе общество «Автобан» просило судебные акты отменить в части взыскания неустойки,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Взыскивая с общества «Автобан» неустойку, суды руководствовались статьями 314 , 329 - 331 , 333 Гражданского кодекса Российской Федерации и исходили из доказанности факта нарушения сроков выполнения работ, соразмерности неустойки последствиям нарушения обязательств. Доводы кассационной жалобы сводятся к изложению обстоятельств дела, которые были предметом исследования и оценки судов, что не свидетельствует о допущенных ими нарушениях норм материального и процессуального права.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