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денежных средств в размере 1 107 279 рублей в пользу публичного акционерного общества «Сафмар финансовые инвестиции» (далее – общество); применении последствий недействительности сделки. Определением Арбитражного суда Белгородской области от 25.12.2018, оставленным без изменения постановлениями Девятнадцатого арбитражного апелляционного суда от 29.04.2019 и Арбитражного суда Центрального округа от 06.08.2019,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313 Гражданского кодекса Российской Федерации, статьями 61.1, 61.2, 61.8, 61.9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заявителем совокупности условий для признания недействительной сделки в пользу общества, неосведомлённого о неплатёжеспособности или недостаточности у должника имущества, не преследующего цели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«АБС-Трейд»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"БЕЛГОРОДСКАЯ ПРОМЫШЛЕННАЯ КОРПОРАЦИЯ" (подробнее) ООО "Кубаньэкопродукт" (подробнее) ООО "ЦАНТ" (подробнее) Ответчики: ООО "АБС-Трейд" (подробнее) Иные лица: АО "Лизинговая компания "Европлан" (подробнее) ПАО "Сафмар Финансовые инвестиции" (подробнее) РОСП по Восточному округу г.Белгорода (подробнее) Свердловский районный суд (подробнее) Управление Росреестра по Белгородской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