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08.02.2019, оставленным без изменения постановлением Седьмого арбитражного апелляционного суда от 14.05.2019, в удовлетворении иска отказано в связи с отсутствием оснований для признания договора страхования недействительным. Арбитражный суд Западно-Сибирского округа постановлением от 05.08.2019 решение от 08.02.2019 и постановление Седьмого арбитражного апелляционного суда от 14.05.2019 оставил без изменения. В кассационной жалобе общество «Росгосстрах» просит об отмене указанных судебных актов как незаконных, ссылаясь на отсутствие у ответчика законного имущественного интереса в сохранении неарендованной части здания.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5 статьи 166 Гражданского кодекса Российской Федерации заявление о недействительности сделки не имеет правового значения если поведение ссылающегося на недействительность лица после заключения сделки давало основание полагаться на действительность сделки. Установленные судами предшествовавшее заключению оспариваемого договора страхования в течение нескольких лет подряд страхование всего здания в пользу ответчика с внесением страховой премии соответственно всей площади здания и согласие ответчика на замену его собственником здания правомерно учтены судами в качестве обстоятельств, создающих условие для отказа в иске.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