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37 и 39 Федерального конституционного закона "О военных судах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23 июня 1999 года № 1-ФКЗ "О военных судах Российской Федерации" (Собрание законодательства Российской Федерации, 1999, № 26, ст. 3170) следующие изменения: 1) в части 4 статьи 37 слова ", коммунальных и иных платежей за эксплуатацию данных зданий и сооружений" исключить; 2) статью 39 дополнить частями 3 и 4 следующего содержания: "3. Окружные (флотские) военные суды обладают правами юридического лица.</w:t>
      </w:r>
    </w:p>
    <w:p>
      <w:r>
        <w:rPr>
          <w:b/>
        </w:rPr>
        <w:t xml:space="preserve">4. </w:t>
      </w:r>
      <w:r>
        <w:t>В отношении гарнизонных военных судов полномочия юридического лица реализуются Судебным департаментом."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