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4 и 6 Федерального конституционного закона «О Государственном флаге Российской Федерации»"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25 декабря 2000 года № 1-ФКЗ «О Государственном флаге Российской Федерации» (Собрание законодательства Российской Федерации, 2000, № 52, ст. 5020; 2002, № 28, ст. 2781; 2011, №1, ст. 1; 2013, № $1, ст. 6671; 2014, №11, ст. 1088; 2024, № 13, ст. 1671; 2025, №31, ст. 4623) следующие изменения</w:t>
      </w:r>
    </w:p>
    <w:p>
      <w:r>
        <w:t>часть вторую статьи 4 после слов «вывешен постоянно на» дополнить словами «объектах спорта, находящихся в государственной (муниципальной) собственности,»; и 088 69377 9 2 2) в части пятой статьи 6 слова «(в том числе спортивных и физкультурно-оздоровительных)» исключить, дополнить словами «, а также во время проведения официальных физкультурных мероприятий и официальных спортивных соревнований»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 В.Путин № 2-ФКЗ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