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федеральном бюджете на 1994 год"</w:t>
      </w:r>
    </w:p>
    <w:p>
      <w:r>
        <w:rPr>
          <w:b/>
        </w:rPr>
        <w:t>Статья 1. Признать утратившей силу статью 30 Федерального закона "О федеральном бюджете на 1994 год" (Собрание законодательства Российской Федерации, 1994, № 10, ст. 1108).</w:t>
      </w:r>
    </w:p>
    <w:p>
      <w:r>
        <w:t>Признать утратившей силу статью 30 Федерального закона "О федеральном бюджете на 1994 год" (Собрание законодательства Российской Федерации, 1994, № 10, ст. 1108).</w:t>
      </w:r>
    </w:p>
    <w:p>
      <w:r>
        <w:rPr>
          <w:b/>
        </w:rPr>
        <w:t>Статья 2. Статья 1 настоящего Федерального закона вводится в действие с 1 сентября 1994 года.</w:t>
      </w:r>
    </w:p>
    <w:p>
      <w:r>
        <w:t>Статья 1 настоящего Федерального закона вводится в действие с 1 сентября 1994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