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Закон Российской Федерации "О гражданстве Российской Федерации"</w:t>
      </w:r>
    </w:p>
    <w:p>
      <w:r>
        <w:rPr>
          <w:b/>
        </w:rPr>
        <w:t>Статья 1. Внести в Закон Российской Федерации "О гражданстве Российской Федерации" (Ведомости Съезда народных депутатов Российской Федерации и Верховного Совета Российской Федерации, 1992, № 6, ст. 243; 1993, № 29, ст. 1112) следующее изменение:</w:t>
      </w:r>
    </w:p>
    <w:p>
      <w:r>
        <w:t>в пункте "г" статьи 18 слова "в течение трех лет со дня вступления в силу настоящего Закона" заменить словами "до 31 декабря 2000 года".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