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Законы Российской Федерации "О подоходном налоге с физических лиц" и "О налоге на прибыль предприятий и организаций"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(Утратил силу - Федеральный закон от 05.08.2000 № 118-ФЗ)</w:t>
      </w:r>
    </w:p>
    <w:p>
      <w:r>
        <w:rPr>
          <w:b/>
        </w:rPr>
        <w:t xml:space="preserve">2. </w:t>
      </w:r>
      <w:r>
        <w:t>(Утратил силу - Федеральный закон от 06.08.2001 № 110-ФЗ)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отношения, возникшие с 1 января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