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товарообороте и производственной кооперации в области машиностроения на взаимоувязанной основе</w:t>
      </w:r>
    </w:p>
    <w:p>
      <w:r>
        <w:rPr>
          <w:b/>
        </w:rPr>
        <w:t>Статья None. Федеральный закон   от 31.07.1996 № 104-ФЗ</w:t>
      </w:r>
    </w:p>
    <w:p>
      <w:r>
        <w:t>О ратификации Соглашения о товарообороте и производственной кооперации в области машиностроения на взаимоувязанной основе РОССИЙСКАЯ ФЕДЕРАЦИЯ ФЕДЕРАЛЬНЫЙ ЗАКОН О ратификации Соглашения о товарообороте и производственной кооперации в области машиностроения на взаимоувязанной основе Принят Государственной Думой 5 июля 1996 года Одобрен Советом Федерации 17 июля 1996 года Ратифицировать Соглашение о товарообороте и производственной кооперации в области машиностроения на взаимоувязанной основе, подписанное в городе Москве 9 декабря 1994 года. Президент Российской Федерации Б. Ельцин Москва, Кремль 31 июля 1996 года № 104-ФЗ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