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2 Федерального закона "О федеральном бюджете на 1997 год"</w:t>
      </w:r>
    </w:p>
    <w:p>
      <w:r>
        <w:rPr>
          <w:b/>
        </w:rPr>
        <w:t>Статья 1. Внести в Федеральный закон "О федеральном бюджете на 1997 год" (Собрание законодательства Российской Федерации, 1997, № 9, ст. 1012) следующие изменения:</w:t>
      </w:r>
    </w:p>
    <w:p>
      <w:r>
        <w:t>часть третью статьи 1 изложить в следующей редакции: "Направить на покрытие дефицита федерального бюджета на 1997 год поступления из: источников внутреннего финансирования в сумме 42 950,0 млрд. рублей, включая доходы от эмиссии государственных ценных бумаг; источников внешнего финансирования в сумме 52 450,1 млрд. рублей."</w:t>
      </w:r>
    </w:p>
    <w:p>
      <w:r>
        <w:t>статью 2 изложить в следующей редакции: "Статья 2. Установить предельный размер государственных внешних заимствований Российской Федерации в 1997 году в сумме 10,9 млрд. долларов США."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