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Конвенции о защите прав человека и основных свобод и Протоколов к ней</w:t>
      </w:r>
    </w:p>
    <w:p>
      <w:r>
        <w:rPr>
          <w:b/>
        </w:rPr>
        <w:t>Статья 1. Ратифицировать Конвенцию о защите прав человека и основных свобод от 4 ноября 1950 года с изменениями, внесенными Протоколами к ней № 3 от 6 мая 1963 года, № 5 от 20 января 1966 года и № 8 от 19 марта 1985 года, и дополнениями, содержащимися в Протоколе № 2 от 6 мая 1963 года (далее именуется - Конвенция), и Протоколы к ней № 1 от 20 марта 1952 года, № 4 от 16 сентября 1963 года, № 7 от 22 ноября 1984 года, № 9 от 6 ноября 1990 года, № 10 от 25 марта 1992 года и № 11 от 11 мая 1994 года, подписанные от имени Российской Федерации в городе Страсбурге 28 февраля 1996 года, со следующими оговоркой и заявлениями:</w:t>
      </w:r>
    </w:p>
    <w:p>
      <w:r>
        <w:t>"Российская Федерация в соответствии со статьей 64 Конвенции заявляет, что положения пунктов 3 и 4 статьи 5 не препятствуют применению нижеследующих положений законодательства Российской Федерации: санкционированного абзацем вторым пункта 6 раздела второго Конституции Российской Федерации 1993 года временного применения установленного частью 1 статьи 11, частью 1 статьи 89, статьями 90, 92, 96, 961, 962, 97, 101 и 122 Уголовно-процессуального кодекса РСФСР от 27 октября 1960 года, с последующими изменениями и дополнениями порядка ареста, содержания под стражей и задержания лиц, подозреваемых в совершении преступления; основанных на пункте 2 статьи 26 Закона Российской Федерации "О статусе военнослужащих" от 22 января 1993 года статей 51 - 53 и 62 Дисциплинарного устава Вооруженных Сил Российской Федерации, утвержденного Указом Президента Российской Федерации от 14 декабря 1993 года № 2140, устанавливающих арест с содержанием на гауптвахте в качестве меры дисциплинарного взыскания, налагаемой во внесудебном порядке на военнослужащих - солдат, матросов, сержантов, старшин, прапорщиков и мичманов. Срок действия этой оговорки ограничен периодом, который потребуется для внесения в законодательство Российской Федерации изменений, полностью устраняющих несоответствия указанных выше положений положениям Конвенции."; "Российская Федерация в соответствии со статьей 25 Конвенции признает компетенцию Европейской комиссии по правам человека получать заявления (жалобы) от любого лица, неправительственной организации или группы лиц, которые утверждают, что они являются жертвами нарушения Российской Федерацией их прав, изложенных в Конвенции и указанных Протоколах к ней, в случаях, когда предполагаемое нарушение имело место после вступления в действие этих договорных актов в отношении Российской Федерации."; "Российская Федерация в соответствии со статьей 46 Конвенции признает ipso facto и без специального соглашения юрисдикцию Европейского Суда по правам человека обязательной по вопросам толкования и применения Конвенции и Протоколов к ней в случаях предполагаемого нарушения Российской Федерацией положений этих договорных актов, когда предполагаемое нарушение имело место после их вступления в действие в отношении Российской Федерации.".</w:t>
      </w:r>
    </w:p>
    <w:p>
      <w:r>
        <w:rPr>
          <w:b/>
        </w:rPr>
        <w:t>Статья 2. Предусмотреть в федеральном бюджете начиная с 1998 года необходимое увеличение расходов на содержание федеральной судебной системы и пенитенциарной системы, органов юстиции Российской Федерации, органов прокуратуры Российской Федерации и органов внутренних дел Российской Федерации в целях приведения правоприменительной практики в полное соответствие с обязательствами Российской Федерации, вытекающими из участия в Конвенции и Протоколах к ней.</w:t>
      </w:r>
    </w:p>
    <w:p>
      <w:r>
        <w:t>Предусмотреть в федеральном бюджете начиная с 1998 года необходимое увеличение расходов на содержание федеральной судебной системы и пенитенциарной системы, органов юстиции Российской Федерации, органов прокуратуры Российской Федерации и органов внутренних дел Российской Федерации в целях приведения правоприменительной практики в полное соответствие с обязательствами Российской Федерации, вытекающими из участия в Конвенции и Протоколах к ней.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