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связи с принятием Федерального закона "О внутренних войсках Министерства внутренних дел Российской Федерации"</w:t>
      </w:r>
    </w:p>
    <w:p>
      <w:r>
        <w:rPr>
          <w:b/>
        </w:rPr>
        <w:t>Статья 1. В связи с принятием Федерального закона "О внутренних войсках Министерства внутренних дел Российской Федерации" (Собрание законодательства Российской Федерации, 1997, № 6, ст. 711) внести изменения и дополнения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В статье 12 Закона Российской Федерации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1316): часть первую изложить в следующей редакции: "Охрана объектов уголовно-исполнительной системы, предназначенных для содержания и труда осужденных, и других объектов уголовно-исполнительной системы осуществляется специальными подразделениями уголовно-исполнительной системы, создаваемыми для этих целей при учреждениях, исполняющих наказания."; в части второй: слова "внутренними войсками Министерства внутренних дел Российской Федерации," исключить; дополнить часть предложением следующего содержания: "Конвоирование осужденных и лиц, заключенных под стражу, по плановым маршрутам, установленным соответствующим перечнем, а также конвоирование подсудимых на судебные заседания Верховного Суда Российской Федерации осуществляется внутренними войсками Министерства внутренних дел Российской Федерации."; (Абзац утратил силу - Федеральный закон от 05.04.2013 № 37-ФЗ)</w:t>
      </w:r>
    </w:p>
    <w:p>
      <w:r>
        <w:rPr>
          <w:b/>
        </w:rPr>
        <w:t xml:space="preserve">2. </w:t>
      </w:r>
      <w:r>
        <w:t>(Утратил силу - Федеральный закон от 28.06.2009 № 126-ФЗ)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