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"Об основах налоговой системы в Российской Федерации"</w:t>
      </w:r>
    </w:p>
    <w:p>
      <w:r>
        <w:rPr>
          <w:b/>
        </w:rPr>
        <w:t>Статья 1. Внести в Закон Российской Федерации "Об основах налоговой системы в Российской Федерации" (Ведомости Съезда народных депутатов Российской Федерации и Верховного Совета Российской Федерации, 1992, N 11, ст. 527; 1993, N 4, ст. 118) следующее изменение:</w:t>
      </w:r>
    </w:p>
    <w:p>
      <w:r>
        <w:t>пункт 1 статьи 20 дополнить подпунктом "е" следующего содержания: "е) единый налог на вмененный доход для определенных видов деятельности."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