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государственной защите судей, должностных лиц правоохранительных и контролирующих органов" в связи с принятием Федерального закона "О внутренних войсках Министерства внутренних дел Российской Федерации"</w:t>
      </w:r>
    </w:p>
    <w:p>
      <w:r>
        <w:rPr>
          <w:b/>
        </w:rPr>
        <w:t>Статья 1. В связи с принятием Федерального закона "О внутренних войсках Министерства внутренних дел Российской Федерации" (Собрание законодательства Российской Федерации, 1997, № 6, ст. 711) внести в Федеральный закон "О государственной защите судей, должностных лиц правоохранительных и контролирующих органов" (Собрание законодательства Российской Федерации, 1995, № 17, ст. 1455; 1998, № 30, ст. 3613) следующие дополнения:</w:t>
      </w:r>
    </w:p>
    <w:p>
      <w:r>
        <w:rPr>
          <w:b/>
        </w:rPr>
        <w:t xml:space="preserve">1. </w:t>
      </w:r>
      <w:r>
        <w:t>Часть первую статьи 2 дополнить новым пунктом 62 следующего содержания: "62) военнослужащие внутренних войск Министерства внутренних дел Российской Федерации, принимавшие непосредственное участие в пресечении действий вооруженных преступников, незаконных вооруженных формирований и иных организованных преступных групп;"</w:t>
      </w:r>
    </w:p>
    <w:p>
      <w:r>
        <w:rPr>
          <w:b/>
        </w:rPr>
        <w:t xml:space="preserve">2. </w:t>
      </w:r>
      <w:r>
        <w:t>Часть третью статьи 12 после слова "дознание," дополнить словами "военнослужащих внутренних войск Министерства внутренних дел Российской Федерации, принимавших непосредственное участие в пресечении действий вооруженных преступников, незаконных вооруженных формирований и иных организованных преступных групп,"</w:t>
      </w:r>
    </w:p>
    <w:p>
      <w:r>
        <w:rPr>
          <w:b/>
        </w:rPr>
        <w:t xml:space="preserve">3. </w:t>
      </w:r>
      <w:r>
        <w:t>Дополнить статью 20 частью седьмой следующего содержания: "Страховые гарантии военнослужащим, указанным в пункте 62 статьи 2 настоящего Федерального закона, и их право на возмещение вреда обеспечиваются в соответствии с Федеральным законом "О статусе военнослужащих"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