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драгоценных металлах и драгоценных камнях"</w:t>
      </w:r>
    </w:p>
    <w:p>
      <w:r>
        <w:rPr>
          <w:b/>
        </w:rPr>
        <w:t>Статья 1. Внести в Федеральный закон "О драгоценных металлах и драгоценных камнях" (Собрание законодательства Российской Федерации, 1998, № 13, ст. 1463) следующие изменения:</w:t>
      </w:r>
    </w:p>
    <w:p>
      <w:r>
        <w:rPr>
          <w:b/>
        </w:rPr>
        <w:t xml:space="preserve">1. </w:t>
      </w:r>
      <w:r>
        <w:t>Пункт 3 статьи 15 изложить в следующей редакции: "3. Организации, указанные в статье 4 настоящего Федерального закона, осуществляют добычу драгоценных металлов и драгоценных камней собственными силами или на договорной основе с другими организациями. При ведении добычи драгоценных металлов и драгоценных камней организациями в рамках договора между ними каждая из этих организаций должна иметь необходимые лицензии на виды деятельности, предусмотренные настоящим Федеральным законом и иными законодательными актами."</w:t>
      </w:r>
    </w:p>
    <w:p>
      <w:r>
        <w:rPr>
          <w:b/>
        </w:rPr>
        <w:t xml:space="preserve">2. </w:t>
      </w:r>
      <w:r>
        <w:t>В пункте 2 статьи 19: в абзаце первом после слов "в области" дополнить словом "добычи,"; подпункт 8 исключить; подпункт 9 считать подпунктом 8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