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14 Закона Российской Федерации "О социальной защите граждан, подвергшихся воздействию радиации вследствие катастрофы на Чернобыльской АЭС"</w:t>
      </w:r>
    </w:p>
    <w:p>
      <w:r>
        <w:rPr>
          <w:b/>
        </w:rPr>
        <w:t>Статья 1. Пункт 10 части первой статьи 14 Закона Российской Федерации "О социальной защите граждан, подвергшихся воздействию радиации вследствие катастрофы на Чернобыльской АЭС"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1995, № 48, ст. 4561) изложить в следующей редакции:</w:t>
      </w:r>
    </w:p>
    <w:p>
      <w:r>
        <w:t>"10) льготы по уплате налогов и сборов в соответствии с законодательством о налогах и сборах;".</w:t>
      </w:r>
    </w:p>
    <w:p>
      <w:r>
        <w:rPr>
          <w:b/>
        </w:rPr>
        <w:t>Статья 2. Президенту Российской Федерации и Правительству Российской Федерации в трехмесячный срок привести свои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в трехмесячный срок привести свои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