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15 Федерального закона "Об акционерных обществах"</w:t>
      </w:r>
    </w:p>
    <w:p>
      <w:r>
        <w:rPr>
          <w:b/>
        </w:rPr>
        <w:t>Статья 1. Абзац первый пункта 1 статьи 15 Федерального закона "Об акционерных обществах" (Собрание законодательства Российской Федерации, 1996, № 1, ст. 1) дополнить предложением следующего содержания: "Особенности реорганизации общества - субъекта естественной монополии, более 25 процентов акций которого закреплено в федеральной собственности, определяются федеральным законом, устанавливающим основания и порядок реорганизации такого общества.".</w:t>
      </w:r>
    </w:p>
    <w:p>
      <w:r>
        <w:t>Абзац первый пункта 1 статьи 15 Федерального закона "Об акционерных обществах" (Собрание законодательства Российской Федерации, 1996, № 1, ст. 1) дополнить предложением следующего содержания: "Особенности реорганизации общества - субъекта естественной монополии, более 25 процентов акций которого закреплено в федеральной собственности, определяются федеральным законом, устанавливающим основания и порядок реорганизации такого общества.".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