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Центральном банке Российской Федерации (Банке России)" и Федеральный закон "О рынке ценных бумаг"</w:t>
      </w:r>
    </w:p>
    <w:p>
      <w:r>
        <w:rPr>
          <w:b/>
        </w:rPr>
        <w:t>Статья 1</w:t>
      </w:r>
    </w:p>
    <w:p>
      <w:r>
        <w:t>(Утратила силу - Федеральный закон от 10.07.2002 № 86-ФЗ)</w:t>
      </w:r>
    </w:p>
    <w:p>
      <w:r>
        <w:rPr>
          <w:b/>
        </w:rPr>
        <w:t>Статья 2. Статью 19 Федерального закона "О рынке ценных бумаг" (Собрание законодательства Российской Федерации, 1996, № 17, ст. 1918) дополнить новой частью четвертой следующего содержания:</w:t>
      </w:r>
    </w:p>
    <w:p>
      <w:r>
        <w:t>"Особенности процедуры эмиссии облигаций Банка России определяются Правительством Российской Федерации в соответствии с законодательством Российской Федерации."; Части четвертую и пятую считать соответственно частями пятой и шестой.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 и действует по 31 декабря 1999 года включительно.</w:t>
      </w:r>
    </w:p>
    <w:p>
      <w:r>
        <w:t>Настоящий Федеральный закон вступает в силу со дня его официального опубликования и действует по 31 декабря 1999 года включительно.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