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порядке опубликования и вступления в силу федеральных конституционных законов, федеральных законов, актов палат Федерального Собрания"</w:t>
      </w:r>
    </w:p>
    <w:p>
      <w:r>
        <w:rPr>
          <w:b/>
        </w:rPr>
        <w:t>Статья 1. Внести в Федеральный закон "О порядке опубликования и вступления в силу федеральных конституционных законов, федеральных законов, актов палат Федерального Собрания" (Собрание законодательства Российской Федерации, 1994, № 8, ст. 801) следующие изменения и дополнения:</w:t>
      </w:r>
    </w:p>
    <w:p>
      <w:r>
        <w:rPr>
          <w:b/>
        </w:rPr>
        <w:t xml:space="preserve">1. </w:t>
      </w:r>
      <w:r>
        <w:t>Статью 4 изложить в следующей редакции: "Статья 4. Официальным опубликованием федерального конституционного закона, федерального закона, акта палаты Федерального Собрания считается первая публикация его полного текста в "Парламентской газете", "Российской газете" или "Собрании законодательства Российской Федерации". Федеральные конституционные законы, федеральные законы направляются для официального опубликования Президентом Российской Федерации. Акты палат Федерального Собрания направляются для официального опубликования председателем соответствующей палаты или его заместителем."</w:t>
      </w:r>
    </w:p>
    <w:p>
      <w:r>
        <w:rPr>
          <w:b/>
        </w:rPr>
        <w:t xml:space="preserve">2. </w:t>
      </w:r>
      <w:r>
        <w:t>В статье 5: дополнить новой частью первой следующего содержания: "Парламентская газета" является официальным периодическим изданием Федерального Собрания. Федеральные конституционные законы, федеральные законы подлежат обязательному опубликованию в "Парламентской газете". Обязательному опубликованию в "Парламентской газете" подлежат те акты палат Федерального Собрания, по которым имеются решения палаты, принявшей эти акты, об обязательном их опубликовании."; части первую и вторую считать соответственно частями второй и третьей</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