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15 Федерального закона "Об оружии"</w:t>
      </w:r>
    </w:p>
    <w:p>
      <w:r>
        <w:rPr>
          <w:b/>
        </w:rPr>
        <w:t>Статья 1. Внести в Федеральный закон от 13 декабря 1996 года № 150-ФЗ "Об оружии" (Собрание законодательства Российской Федерации, 1996, № 51, ст. 5681) следующие изменения:</w:t>
      </w:r>
    </w:p>
    <w:p>
      <w:r>
        <w:rPr>
          <w:b/>
        </w:rPr>
        <w:t xml:space="preserve">1. </w:t>
      </w:r>
      <w:r>
        <w:t>Пункт 6 статьи 10 изложить в следующей редакции: "6) организации, занимающиеся оленеводством и коневодством, подразделения Российской академии наук, проводящие полевые работы, связанные с геологоразведкой, охраной природы и природных ресурсов в районах Крайнего Севера и приравненных к ним местностях, специализированные предприятия, ведущие охотничий или морской зверобойный промысел, а также специализированное предприятие, осуществляющее гидрографическое обеспечение судоходства на трассах Северного морского пути;"</w:t>
      </w:r>
    </w:p>
    <w:p>
      <w:r>
        <w:rPr>
          <w:b/>
        </w:rPr>
        <w:t xml:space="preserve">2. </w:t>
      </w:r>
      <w:r>
        <w:t>Часть вторую статьи 15 изложить в следующей редакции: "Организации всех форм собственности, занимающиеся оленеводством и коневодством, подразделения Российской академии наук, проводящие полевые работы, связанные с геологоразведкой, охраной природы и природных ресурсов в районах Крайнего Севера и приравненных к ним местностях, специализированные предприятия, ведущие охотничий или морской зверобойный промысел, а также специализированное предприятие, осуществляющее гидрографическое обеспечение судоходства на трассах Северного морского пути, имеют право приобретать и использовать охотничье огнестрельное оружие, в том числе с нарезным стволом. Порядок выдачи лицензии на приобретение указанного оружия и правила его использования устанавливаются Правительством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