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 федеральном бюджете на 1999 год"</w:t>
      </w:r>
    </w:p>
    <w:p>
      <w:r>
        <w:rPr>
          <w:b/>
        </w:rPr>
        <w:t>Статья 1. Внести в Федеральный закон от 22 февраля 1999 года № 36-ФЗ "О федеральном бюджете на 1999 год" (Собрание законодательства Российской Федерации, 1999, № 9, ст. 1093; № 28, ст. 3462, 3463; № 29, ст. 3687, 3691, 3694; Российская газета, 1999, 27 октября, № 213) следующие дополнения:</w:t>
      </w:r>
    </w:p>
    <w:p>
      <w:r>
        <w:t>часть первую статьи 108 дополнить новым абзацем пятым следующего содержания: "решение проблем предотвращения сбоев и негативных последствий в работе компьютерных, микропроцессорных, цифровых и иных аналогичных систем и реконструкции многопроцессорных систем правительственной связи, возникающих в результате некорректной обработки даты при наступлении 2000 года, - в сумме до 2 300 млн. рублей;"; дополнить статьей 1401: "Статья 1401. Правительству Российской Федерации совместно с Центральным банком Российской Федерации определить порядок и сроки завершения операций по исполнению федерального бюджета на 1999 год без включения льготного периода.".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