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районных судов в Республике Ингушетия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в Республике Ингушетия Джейрахский районный суд и Карабулакский районный суд</w:t>
      </w:r>
    </w:p>
    <w:p>
      <w:r>
        <w:rPr>
          <w:b/>
        </w:rPr>
        <w:t xml:space="preserve">2. </w:t>
      </w:r>
      <w:r>
        <w:t>Установить, что юрисдикция вновь созданных Джейрахского районного суда и Карабулакского районного суда распространяется на территории указанных районов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Джейрахского районного суда и Карабулакского районного суда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созданных Джейрахского районного суда и Карабулакского районного суда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