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кодекс Российской Федерации и Федеральный закон "О введении в действие части первой Гражданского кодекса Российской Федерации"</w:t>
      </w:r>
    </w:p>
    <w:p>
      <w:r>
        <w:rPr>
          <w:b/>
        </w:rPr>
        <w:t>Статья 1. Внести изменение в статью 13 Федерального закона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3302), изложив ее в следующей редакции:</w:t>
      </w:r>
    </w:p>
    <w:p>
      <w:r>
        <w:t>"Статья 13. Нормы главы 17 части первой Кодекса в части, касающейся сделок с земельными участками сельскохозяйственных угодий, вводятся в действие со дня введения в действие Земельного кодекса Российской Федерации и закона об обороте земель сельскохозяйственного назначения.".</w:t>
      </w:r>
    </w:p>
    <w:p>
      <w:r>
        <w:rPr>
          <w:b/>
        </w:rPr>
        <w:t>Статья 2. Внести в главу 17 части первой Гражданского кодекса Российской Федерации (Собрание законодательства Российской Федерации, 1994, № 32, ст. 3301) следующие изменения:</w:t>
      </w:r>
    </w:p>
    <w:p>
      <w:r>
        <w:t>наименование изложить в следующей редакции: "Глава 17. ПРАВО СОБСТВЕННОСТИ И ДРУГИЕ ВЕЩНЫЕ ПРАВА НА ЗЕМЛЮ"; сноску к главе исключить.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4.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