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Володарского районного суда Нижегородской области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Федерации":</w:t>
      </w:r>
    </w:p>
    <w:p>
      <w:r>
        <w:rPr>
          <w:b/>
        </w:rPr>
        <w:t xml:space="preserve">1. </w:t>
      </w:r>
      <w:r>
        <w:t>Создать Володарский районный суд Нижегородской области</w:t>
      </w:r>
    </w:p>
    <w:p>
      <w:r>
        <w:rPr>
          <w:b/>
        </w:rPr>
        <w:t xml:space="preserve">2. </w:t>
      </w:r>
      <w:r>
        <w:t>Установить, что юрисдикция Володарского районного суда Нижегородской области распространяется на территорию Володарского района Нижегородской области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организационному и материально-техническому обеспечению, а также кадровому укомплектованию Володарского районного суда Нижегородской области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Володарского районного суда Нижегородской области за счет федерального бюджета в пределах средств, выделенных на содержание судов общей юрисдикции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p>
      <w:r>
        <w:t>Настоящий Федеральный закон вступает в силу со дня его официального опубликования, за исключением пункта 2 статьи 1 настоящего Федерального закона, который вводится в действие по истечении трех месяцев с момента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