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1. Внести в Федеральный закон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 42, ст. 5005; 2000, № 31, ст. 3205) следующие изменения:</w:t>
      </w:r>
    </w:p>
    <w:p>
      <w:r>
        <w:rPr>
          <w:b/>
        </w:rPr>
        <w:t xml:space="preserve">1. </w:t>
      </w:r>
      <w:r>
        <w:t>Подпункт "е" пункта 2 статьи 5 изложить в следующей редакции: "е) утверждаются бюджеты территориальных государственных внебюджетных фондов субъекта Российской Федерации и отчеты об их исполнении;"</w:t>
      </w:r>
    </w:p>
    <w:p>
      <w:r>
        <w:rPr>
          <w:b/>
        </w:rPr>
        <w:t xml:space="preserve">2. </w:t>
      </w:r>
      <w:r>
        <w:t>Пункт 1 статьи 12 изложить в следующей редакции: "1. В течение срока своих полномочий депутат не может быть депутатом Государственной Думы Федерального Собрания Российской Федерации, судьей, замещать иные государственные должности Российской Федерации, государственные должности федеральной государственной службы, иные государственные должности субъекта Российской Федерации или государственные должности государственной службы субъекта Российской Федерации, а также выборные муниципальные должности и муниципальные должности муниципальной службы, если иное не предусмотрено федеральным законом."</w:t>
      </w:r>
    </w:p>
    <w:p>
      <w:r>
        <w:rPr>
          <w:b/>
        </w:rPr>
        <w:t xml:space="preserve">3. </w:t>
      </w:r>
      <w:r>
        <w:t>В пункте 8 статьи 19 слова "пунктом 4 статьи 29" заменить словами "пунктом 4 статьи 291"</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p>
      <w:r>
        <w:rPr>
          <w:b/>
        </w:rPr>
        <w:t>Статья 3. Положение пункта 2 статьи 1 настоящего Федерального закона распространяется на депутатов законодательного (представительного) органа государственной власти субъекта Российской Федерации, избранных после вступления в силу настоящего Федерального закона.</w:t>
      </w:r>
    </w:p>
    <w:p>
      <w:r>
        <w:t>Положение пункта 2 статьи 1 настоящего Федерального закона распространяется на депутатов законодательного (представительного) органа государственной власти субъекта Российской Федерации, избранных после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