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20 Федерального закона "Об иностранных инвестициях в Российской Федерации"</w:t>
      </w:r>
    </w:p>
    <w:p>
      <w:r>
        <w:rPr>
          <w:b/>
        </w:rPr>
        <w:t>Статья 1. Внести в пункт 2 статьи 20 Федерального закона от 9 июля 1999 года № 160-ФЗ "Об иностранных инвестициях в Российской Федерации" (Собрание законодательства Российской Федерации, 1999, № 28, ст. 3493; 2002, № 12, ст. 1093) изменение, изложив его в следующей редакции:</w:t>
      </w:r>
    </w:p>
    <w:p>
      <w:r>
        <w:t>"2. Юридические лица, являющиеся коммерческими организациями с иностранными инвестициями, подлежат государственной регистрации в порядке, определяемом Федеральным законом "О государственной регистрации юридических лиц".".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