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борьбе с терроризмом"</w:t>
      </w:r>
    </w:p>
    <w:p>
      <w:r>
        <w:rPr>
          <w:b/>
        </w:rPr>
        <w:t>Статья 1</w:t>
      </w:r>
    </w:p>
    <w:p>
      <w:r>
        <w:t>Главу III. Федерального закона от 25 июля 1998 года № 130-ФЗ "О борьбе с терроризмом" (Собрание законодательства Российской Федерации, 1998, № 31, ст. 3808) дополнить статьей 161 следующего содержания: "Статья 161. Погребение террористов, умерших в ходе пресечения террористической акции Погребение террористов, умерших в результате пресечения террористической акции, осуществляется в порядке, устанавливаемом Правительством Российской Федерации. При этом их тела для захоронения не выдаются и о месте их захоронения не сообщается.".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связанные с погребением тел террористов, не захороненных до вступления его в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