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и изменений в статью 4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</w:p>
    <w:p>
      <w:r>
        <w:rPr>
          <w:b/>
        </w:rPr>
        <w:t>Статья 1. Внести в статью 4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 (Собрание законодательства Российской Федерации, 1999, № 42, ст. 5005) следующие дополнение и изменения:</w:t>
      </w:r>
    </w:p>
    <w:p>
      <w:r>
        <w:t>дополнить новым пунктом 4 следующего содержания: "4. Не менее 50 процентов депутатов законодательного (представительного) органа государственной власти субъекта Российской Федерации (в двухпалатном законодательном (представительном) органе государственной власти субъекта Российской Федерации - не менее 50 процентов депутатов одной из палат указанного органа) должны избираться по единому избирательному округу пропорционально числу голосов, поданных за списки кандидатов в депутаты, выдвинутые избирательными объединениями, избирательными блоками в соответствии с законодательством о выборах."; пункты 4 - 11 считать соответственно пунктами 5 - 12.</w:t>
      </w:r>
    </w:p>
    <w:p>
      <w:r>
        <w:rPr>
          <w:b/>
        </w:rPr>
        <w:t>Статья 2. Настоящий Федеральный закон вступает в силу в соответствии с пунктом 5 статьи 80 Федерального закона от 12 июня 2002 года № 67-ФЗ "Об основных гарантиях избирательных прав и права на участие в референдуме граждан Российской Федерации".</w:t>
      </w:r>
    </w:p>
    <w:p>
      <w:r>
        <w:t>Настоящий Федеральный закон вступает в силу в соответствии с пунктом 5 статьи 80 Федерального закона от 12 июня 2002 года № 67-ФЗ "Об основных гарантиях избирательных прав и права на участие в референдуме граждан Российской Федерации".</w:t>
      </w:r>
    </w:p>
    <w:p>
      <w:r>
        <w:rPr>
          <w:b/>
        </w:rPr>
        <w:t>Статья 3. Настоящий Федеральный закон не применяется при проведении выборов депутатов законодательного (представительного) органа государственной власти субъекта Российской Федерации, назначенных до вступления в силу настоящего Федерального закона.</w:t>
      </w:r>
    </w:p>
    <w:p>
      <w:r>
        <w:t>Настоящий Федеральный закон не применяется при проведении выборов депутатов законодательного (представительного) органа государственной власти субъекта Российской Федерации, назначенных до вступления в силу настоящего Федерального закона.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